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153"/>
          <w:tab w:val="center" w:pos="4513"/>
          <w:tab w:val="right" w:pos="8306"/>
          <w:tab w:val="right" w:pos="9026"/>
        </w:tabs>
        <w:spacing w:after="0" w:line="240" w:lineRule="auto"/>
        <w:rPr>
          <w:rFonts w:ascii="Arial" w:cs="Arial" w:eastAsia="Arial" w:hAnsi="Arial"/>
          <w:b w:val="1"/>
          <w:smallCaps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tabs>
          <w:tab w:val="left" w:pos="720"/>
          <w:tab w:val="center" w:pos="4153"/>
          <w:tab w:val="center" w:pos="4513"/>
          <w:tab w:val="right" w:pos="8306"/>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5 (Pricing Details)</w:t>
      </w:r>
    </w:p>
    <w:p w:rsidR="00000000" w:rsidDel="00000000" w:rsidP="00000000" w:rsidRDefault="00000000" w:rsidRPr="00000000" w14:paraId="00000003">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Schedule 5</w:t>
      </w:r>
    </w:p>
    <w:p w:rsidR="00000000" w:rsidDel="00000000" w:rsidP="00000000" w:rsidRDefault="00000000" w:rsidRPr="00000000" w14:paraId="00000006">
      <w:pPr>
        <w:spacing w:after="0" w:before="240" w:line="276"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tab/>
      </w:r>
    </w:p>
    <w:p w:rsidR="00000000" w:rsidDel="00000000" w:rsidP="00000000" w:rsidRDefault="00000000" w:rsidRPr="00000000" w14:paraId="00000007">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Pricing</w:t>
      </w:r>
    </w:p>
    <w:p w:rsidR="00000000" w:rsidDel="00000000" w:rsidP="00000000" w:rsidRDefault="00000000" w:rsidRPr="00000000" w14:paraId="00000008">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9">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A - FIXED FEE PRICING</w:t>
      </w:r>
    </w:p>
    <w:p w:rsidR="00000000" w:rsidDel="00000000" w:rsidP="00000000" w:rsidRDefault="00000000" w:rsidRPr="00000000" w14:paraId="0000000A">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       CALCULATION OF THE CHARGES</w:t>
      </w:r>
    </w:p>
    <w:p w:rsidR="00000000" w:rsidDel="00000000" w:rsidP="00000000" w:rsidRDefault="00000000" w:rsidRPr="00000000" w14:paraId="0000000C">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        The fixed fee Charges shall be:</w:t>
      </w:r>
    </w:p>
    <w:p w:rsidR="00000000" w:rsidDel="00000000" w:rsidP="00000000" w:rsidRDefault="00000000" w:rsidRPr="00000000" w14:paraId="0000000D">
      <w:pPr>
        <w:shd w:fill="ffffff" w:val="clear"/>
        <w:spacing w:before="240" w:line="276" w:lineRule="auto"/>
        <w:jc w:val="left"/>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1.1.1                 </w:t>
      </w:r>
      <w:r w:rsidDel="00000000" w:rsidR="00000000" w:rsidRPr="00000000">
        <w:rPr>
          <w:rFonts w:ascii="Arial" w:cs="Arial" w:eastAsia="Arial" w:hAnsi="Arial"/>
          <w:color w:val="222222"/>
          <w:sz w:val="24"/>
          <w:szCs w:val="24"/>
          <w:rtl w:val="0"/>
        </w:rPr>
        <w:t xml:space="preserve">calculated on the basis of the rates and prices specified in the Pricing Matrix as submitted at Further Competition. </w:t>
      </w:r>
    </w:p>
    <w:p w:rsidR="00000000" w:rsidDel="00000000" w:rsidP="00000000" w:rsidRDefault="00000000" w:rsidRPr="00000000" w14:paraId="0000000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1.1.2                 paid in respect of Service Months for full and proper performance by the Supplier of its obligations under the Call-Off Contract; and</w:t>
      </w:r>
    </w:p>
    <w:p w:rsidR="00000000" w:rsidDel="00000000" w:rsidP="00000000" w:rsidRDefault="00000000" w:rsidRPr="00000000" w14:paraId="0000000F">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1.1.3                 paid by way of monthly payments ("</w:t>
      </w:r>
      <w:r w:rsidDel="00000000" w:rsidR="00000000" w:rsidRPr="00000000">
        <w:rPr>
          <w:rFonts w:ascii="Arial" w:cs="Arial" w:eastAsia="Arial" w:hAnsi="Arial"/>
          <w:b w:val="1"/>
          <w:sz w:val="24"/>
          <w:szCs w:val="24"/>
          <w:rtl w:val="0"/>
        </w:rPr>
        <w:t xml:space="preserve">Monthly Payments</w:t>
      </w:r>
      <w:r w:rsidDel="00000000" w:rsidR="00000000" w:rsidRPr="00000000">
        <w:rPr>
          <w:rFonts w:ascii="Arial" w:cs="Arial" w:eastAsia="Arial" w:hAnsi="Arial"/>
          <w:sz w:val="24"/>
          <w:szCs w:val="24"/>
          <w:rtl w:val="0"/>
        </w:rPr>
        <w:t xml:space="preserve">") which shall be calculated in accordance with paragraph 1.2 below.</w:t>
      </w:r>
    </w:p>
    <w:p w:rsidR="00000000" w:rsidDel="00000000" w:rsidP="00000000" w:rsidRDefault="00000000" w:rsidRPr="00000000" w14:paraId="00000010">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1.2        Subject to paragraphs 1.3 and 1.4 below, the Monthly Payment (MPn), in respect of a Service Month “n” shall be calculated in accordance with the following formula:</w:t>
      </w:r>
    </w:p>
    <w:p w:rsidR="00000000" w:rsidDel="00000000" w:rsidP="00000000" w:rsidRDefault="00000000" w:rsidRPr="00000000" w14:paraId="00000011">
      <w:pPr>
        <w:spacing w:before="240" w:line="276" w:lineRule="auto"/>
        <w:ind w:left="720" w:firstLine="1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1"/>
        <w:tblW w:w="82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6900"/>
        <w:tblGridChange w:id="0">
          <w:tblGrid>
            <w:gridCol w:w="1320"/>
            <w:gridCol w:w="6900"/>
          </w:tblGrid>
        </w:tblGridChange>
      </w:tblGrid>
      <w:tr>
        <w:trPr>
          <w:cantSplit w:val="0"/>
          <w:trHeight w:val="7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2">
            <w:pPr>
              <w:spacing w:before="240" w:line="276" w:lineRule="auto"/>
              <w:ind w:left="680" w:firstLine="0"/>
              <w:jc w:val="left"/>
              <w:rPr>
                <w:rFonts w:ascii="Arial" w:cs="Arial" w:eastAsia="Arial" w:hAnsi="Arial"/>
                <w:sz w:val="24"/>
                <w:szCs w:val="24"/>
                <w:vertAlign w:val="subscript"/>
              </w:rPr>
            </w:pPr>
            <w:r w:rsidDel="00000000" w:rsidR="00000000" w:rsidRPr="00000000">
              <w:rPr>
                <w:rFonts w:ascii="Arial" w:cs="Arial" w:eastAsia="Arial" w:hAnsi="Arial"/>
                <w:sz w:val="24"/>
                <w:szCs w:val="24"/>
                <w:rtl w:val="0"/>
              </w:rPr>
              <w:t xml:space="preserve">MP</w:t>
            </w:r>
            <w:r w:rsidDel="00000000" w:rsidR="00000000" w:rsidRPr="00000000">
              <w:rPr>
                <w:rFonts w:ascii="Arial" w:cs="Arial" w:eastAsia="Arial" w:hAnsi="Arial"/>
                <w:sz w:val="24"/>
                <w:szCs w:val="24"/>
                <w:vertAlign w:val="subscript"/>
                <w:rtl w:val="0"/>
              </w:rPr>
              <w:t xml:space="preserv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3">
            <w:pPr>
              <w:spacing w:before="240" w:line="276" w:lineRule="auto"/>
              <w:ind w:left="68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Monthly Payment to be determined in respect of the Service Month “n”;</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4">
            <w:pPr>
              <w:spacing w:before="240" w:line="276" w:lineRule="auto"/>
              <w:ind w:left="680" w:firstLine="0"/>
              <w:jc w:val="left"/>
              <w:rPr>
                <w:rFonts w:ascii="Arial" w:cs="Arial" w:eastAsia="Arial" w:hAnsi="Arial"/>
                <w:sz w:val="24"/>
                <w:szCs w:val="24"/>
                <w:vertAlign w:val="subscript"/>
              </w:rPr>
            </w:pPr>
            <w:r w:rsidDel="00000000" w:rsidR="00000000" w:rsidRPr="00000000">
              <w:rPr>
                <w:rFonts w:ascii="Arial" w:cs="Arial" w:eastAsia="Arial" w:hAnsi="Arial"/>
                <w:sz w:val="24"/>
                <w:szCs w:val="24"/>
                <w:rtl w:val="0"/>
              </w:rPr>
              <w:t xml:space="preserve">BMP</w:t>
            </w:r>
            <w:r w:rsidDel="00000000" w:rsidR="00000000" w:rsidRPr="00000000">
              <w:rPr>
                <w:rFonts w:ascii="Arial" w:cs="Arial" w:eastAsia="Arial" w:hAnsi="Arial"/>
                <w:sz w:val="24"/>
                <w:szCs w:val="24"/>
                <w:vertAlign w:val="subscript"/>
                <w:rtl w:val="0"/>
              </w:rPr>
              <w:t xml:space="preserv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5">
            <w:pPr>
              <w:spacing w:before="240" w:line="276" w:lineRule="auto"/>
              <w:ind w:left="68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Baseline Monthly Payment for Service Month “n” which is calculated in accordance with paragraph 2 below;</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6">
            <w:pPr>
              <w:spacing w:before="240" w:line="276" w:lineRule="auto"/>
              <w:jc w:val="left"/>
              <w:rPr>
                <w:rFonts w:ascii="Arial" w:cs="Arial" w:eastAsia="Arial" w:hAnsi="Arial"/>
                <w:sz w:val="24"/>
                <w:szCs w:val="24"/>
                <w:vertAlign w:val="subscrip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7">
            <w:pPr>
              <w:spacing w:before="240" w:line="276" w:lineRule="auto"/>
              <w:jc w:val="left"/>
              <w:rPr>
                <w:rFonts w:ascii="Arial" w:cs="Arial" w:eastAsia="Arial" w:hAnsi="Arial"/>
                <w:sz w:val="24"/>
                <w:szCs w:val="24"/>
              </w:rPr>
            </w:pPr>
            <w:r w:rsidDel="00000000" w:rsidR="00000000" w:rsidRPr="00000000">
              <w:rPr>
                <w:rtl w:val="0"/>
              </w:rPr>
            </w:r>
          </w:p>
        </w:tc>
      </w:tr>
      <w:tr>
        <w:trPr>
          <w:cantSplit w:val="0"/>
          <w:trHeight w:val="9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8">
            <w:pPr>
              <w:spacing w:before="240" w:line="276" w:lineRule="auto"/>
              <w:ind w:left="680" w:firstLine="0"/>
              <w:jc w:val="left"/>
              <w:rPr>
                <w:rFonts w:ascii="Arial" w:cs="Arial" w:eastAsia="Arial" w:hAnsi="Arial"/>
                <w:sz w:val="24"/>
                <w:szCs w:val="24"/>
                <w:vertAlign w:val="subscript"/>
              </w:rPr>
            </w:pPr>
            <w:r w:rsidDel="00000000" w:rsidR="00000000" w:rsidRPr="00000000">
              <w:rPr>
                <w:rFonts w:ascii="Arial" w:cs="Arial" w:eastAsia="Arial" w:hAnsi="Arial"/>
                <w:sz w:val="24"/>
                <w:szCs w:val="24"/>
                <w:rtl w:val="0"/>
              </w:rPr>
              <w:t xml:space="preserve">DVC</w:t>
            </w:r>
            <w:r w:rsidDel="00000000" w:rsidR="00000000" w:rsidRPr="00000000">
              <w:rPr>
                <w:rFonts w:ascii="Arial" w:cs="Arial" w:eastAsia="Arial" w:hAnsi="Arial"/>
                <w:sz w:val="24"/>
                <w:szCs w:val="24"/>
                <w:vertAlign w:val="subscript"/>
                <w:rtl w:val="0"/>
              </w:rPr>
              <w:t xml:space="preserve"> n-1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9">
            <w:pPr>
              <w:spacing w:before="240" w:line="276" w:lineRule="auto"/>
              <w:ind w:left="68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total price for Delivery - Variable Costs  which have been completed in the Previous Service Month which shall be calculated in accordance with paragraph 4 below;</w:t>
            </w:r>
          </w:p>
        </w:tc>
      </w:tr>
      <w:tr>
        <w:trPr>
          <w:cantSplit w:val="0"/>
          <w:trHeight w:val="9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A">
            <w:pPr>
              <w:spacing w:before="240" w:line="276" w:lineRule="auto"/>
              <w:ind w:left="680" w:firstLine="0"/>
              <w:jc w:val="left"/>
              <w:rPr>
                <w:rFonts w:ascii="Arial" w:cs="Arial" w:eastAsia="Arial" w:hAnsi="Arial"/>
                <w:sz w:val="24"/>
                <w:szCs w:val="24"/>
                <w:vertAlign w:val="subscript"/>
              </w:rPr>
            </w:pPr>
            <w:r w:rsidDel="00000000" w:rsidR="00000000" w:rsidRPr="00000000">
              <w:rPr>
                <w:rFonts w:ascii="Arial" w:cs="Arial" w:eastAsia="Arial" w:hAnsi="Arial"/>
                <w:sz w:val="24"/>
                <w:szCs w:val="24"/>
                <w:rtl w:val="0"/>
              </w:rPr>
              <w:t xml:space="preserve">TRP</w:t>
            </w:r>
            <w:r w:rsidDel="00000000" w:rsidR="00000000" w:rsidRPr="00000000">
              <w:rPr>
                <w:rFonts w:ascii="Arial" w:cs="Arial" w:eastAsia="Arial" w:hAnsi="Arial"/>
                <w:sz w:val="24"/>
                <w:szCs w:val="24"/>
                <w:vertAlign w:val="subscript"/>
                <w:rtl w:val="0"/>
              </w:rPr>
              <w:t xml:space="preserve"> n-1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B">
            <w:pPr>
              <w:spacing w:before="240" w:line="276" w:lineRule="auto"/>
              <w:ind w:left="68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monthly TUPE risk premium payable for the Previous Service Month calculated in accordance with Call-Off Schedule 2 (TUPE Surcharge) ("</w:t>
            </w:r>
            <w:r w:rsidDel="00000000" w:rsidR="00000000" w:rsidRPr="00000000">
              <w:rPr>
                <w:rFonts w:ascii="Arial" w:cs="Arial" w:eastAsia="Arial" w:hAnsi="Arial"/>
                <w:b w:val="1"/>
                <w:sz w:val="24"/>
                <w:szCs w:val="24"/>
                <w:rtl w:val="0"/>
              </w:rPr>
              <w:t xml:space="preserve">Monthly TUPE Risk Premium</w:t>
            </w:r>
            <w:r w:rsidDel="00000000" w:rsidR="00000000" w:rsidRPr="00000000">
              <w:rPr>
                <w:rFonts w:ascii="Arial" w:cs="Arial" w:eastAsia="Arial" w:hAnsi="Arial"/>
                <w:sz w:val="24"/>
                <w:szCs w:val="24"/>
                <w:rtl w:val="0"/>
              </w:rPr>
              <w:t xml:space="preserve">") and</w:t>
            </w:r>
          </w:p>
        </w:tc>
      </w:tr>
      <w:tr>
        <w:trPr>
          <w:cantSplit w:val="0"/>
          <w:trHeight w:val="14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C">
            <w:pPr>
              <w:spacing w:after="120" w:line="276" w:lineRule="auto"/>
              <w:ind w:left="680" w:firstLine="0"/>
              <w:jc w:val="left"/>
              <w:rPr>
                <w:rFonts w:ascii="Arial" w:cs="Arial" w:eastAsia="Arial" w:hAnsi="Arial"/>
                <w:sz w:val="24"/>
                <w:szCs w:val="24"/>
                <w:vertAlign w:val="subscript"/>
              </w:rPr>
            </w:pP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sz w:val="24"/>
                <w:szCs w:val="24"/>
                <w:vertAlign w:val="subscript"/>
                <w:rtl w:val="0"/>
              </w:rPr>
              <w:t xml:space="preserve">n-1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D">
            <w:pPr>
              <w:spacing w:after="120" w:line="276" w:lineRule="auto"/>
              <w:ind w:left="68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KPI Credit in respect of the Previous Service Month set off against the Earn Back Amount due (if applicable) for the current Service Month and the Gainshare value attained (or where the Order Form states that KPIs are not applicable then PA</w:t>
            </w:r>
            <w:r w:rsidDel="00000000" w:rsidR="00000000" w:rsidRPr="00000000">
              <w:rPr>
                <w:rFonts w:ascii="Arial" w:cs="Arial" w:eastAsia="Arial" w:hAnsi="Arial"/>
                <w:sz w:val="24"/>
                <w:szCs w:val="24"/>
                <w:vertAlign w:val="subscript"/>
                <w:rtl w:val="0"/>
              </w:rPr>
              <w:t xml:space="preserve">n-1</w:t>
            </w:r>
            <w:r w:rsidDel="00000000" w:rsidR="00000000" w:rsidRPr="00000000">
              <w:rPr>
                <w:rFonts w:ascii="Arial" w:cs="Arial" w:eastAsia="Arial" w:hAnsi="Arial"/>
                <w:sz w:val="24"/>
                <w:szCs w:val="24"/>
                <w:rtl w:val="0"/>
              </w:rPr>
              <w:t xml:space="preserve"> shall be deemed to be £0).</w:t>
            </w:r>
          </w:p>
        </w:tc>
      </w:tr>
    </w:tbl>
    <w:p w:rsidR="00000000" w:rsidDel="00000000" w:rsidP="00000000" w:rsidRDefault="00000000" w:rsidRPr="00000000" w14:paraId="0000001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1.3        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1F">
      <w:pPr>
        <w:spacing w:before="240" w:line="276" w:lineRule="auto"/>
        <w:ind w:left="720" w:firstLine="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MPn = BMPn + DVCn-1 + TRPn-1 - (2xPAn-1)</w:t>
      </w:r>
    </w:p>
    <w:p w:rsidR="00000000" w:rsidDel="00000000" w:rsidP="00000000" w:rsidRDefault="00000000" w:rsidRPr="00000000" w14:paraId="00000020">
      <w:pPr>
        <w:spacing w:before="240" w:line="276" w:lineRule="auto"/>
        <w:ind w:left="720" w:firstLine="72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        Following the final Service Month during the Contract Period a balancing payment will be calculated to account for:</w:t>
      </w:r>
    </w:p>
    <w:p w:rsidR="00000000" w:rsidDel="00000000" w:rsidP="00000000" w:rsidRDefault="00000000" w:rsidRPr="00000000" w14:paraId="00000022">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1.4.1                 the KPI Credit calculated in respect of the final Service Month;</w:t>
      </w:r>
    </w:p>
    <w:p w:rsidR="00000000" w:rsidDel="00000000" w:rsidP="00000000" w:rsidRDefault="00000000" w:rsidRPr="00000000" w14:paraId="00000023">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1.4.3                 the Monthly TUPE Risk Premium payable in respect of the final Service Month;</w:t>
      </w:r>
    </w:p>
    <w:p w:rsidR="00000000" w:rsidDel="00000000" w:rsidP="00000000" w:rsidRDefault="00000000" w:rsidRPr="00000000" w14:paraId="00000024">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1.4.4                 any Earn Back Amount payable in respect of the final Service Month;</w:t>
      </w:r>
    </w:p>
    <w:p w:rsidR="00000000" w:rsidDel="00000000" w:rsidP="00000000" w:rsidRDefault="00000000" w:rsidRPr="00000000" w14:paraId="00000025">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1.4.5                 any Gainshare Amount payable in respect of the final service Month; and</w:t>
      </w:r>
    </w:p>
    <w:p w:rsidR="00000000" w:rsidDel="00000000" w:rsidP="00000000" w:rsidRDefault="00000000" w:rsidRPr="00000000" w14:paraId="00000026">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1.4.6                 the total price for Delivery - Variable Costs which have been completed in the final Service Month,</w:t>
      </w:r>
    </w:p>
    <w:p w:rsidR="00000000" w:rsidDel="00000000" w:rsidP="00000000" w:rsidRDefault="00000000" w:rsidRPr="00000000" w14:paraId="00000027">
      <w:pPr>
        <w:spacing w:before="240" w:line="276" w:lineRule="auto"/>
        <w:ind w:left="8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such balancing payment will be paid to, or deducted from, the sums due to the Supplier following the assessment of the Supplier’s performance in the final Service Month.</w:t>
      </w:r>
    </w:p>
    <w:p w:rsidR="00000000" w:rsidDel="00000000" w:rsidP="00000000" w:rsidRDefault="00000000" w:rsidRPr="00000000" w14:paraId="00000028">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1.5        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Delivery - Variable Cost payment.</w:t>
      </w:r>
    </w:p>
    <w:p w:rsidR="00000000" w:rsidDel="00000000" w:rsidP="00000000" w:rsidRDefault="00000000" w:rsidRPr="00000000" w14:paraId="00000029">
      <w:pPr>
        <w:spacing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BASELINE MONTHLY PAYMENT</w:t>
      </w:r>
    </w:p>
    <w:p w:rsidR="00000000" w:rsidDel="00000000" w:rsidP="00000000" w:rsidRDefault="00000000" w:rsidRPr="00000000" w14:paraId="0000002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        The baseline monthly payment ("</w:t>
      </w:r>
      <w:r w:rsidDel="00000000" w:rsidR="00000000" w:rsidRPr="00000000">
        <w:rPr>
          <w:rFonts w:ascii="Arial" w:cs="Arial" w:eastAsia="Arial" w:hAnsi="Arial"/>
          <w:b w:val="1"/>
          <w:sz w:val="24"/>
          <w:szCs w:val="24"/>
          <w:rtl w:val="0"/>
        </w:rPr>
        <w:t xml:space="preserve">Baseline Monthly Payment</w:t>
      </w:r>
      <w:r w:rsidDel="00000000" w:rsidR="00000000" w:rsidRPr="00000000">
        <w:rPr>
          <w:rFonts w:ascii="Arial" w:cs="Arial" w:eastAsia="Arial" w:hAnsi="Arial"/>
          <w:sz w:val="24"/>
          <w:szCs w:val="24"/>
          <w:rtl w:val="0"/>
        </w:rPr>
        <w:t xml:space="preserve">") payable in respect of a Service Month shall be set by reference to the Fixed Price Pricing Matrix as submitted at Further Competition.</w:t>
      </w:r>
    </w:p>
    <w:p w:rsidR="00000000" w:rsidDel="00000000" w:rsidP="00000000" w:rsidRDefault="00000000" w:rsidRPr="00000000" w14:paraId="0000002C">
      <w:pPr>
        <w:spacing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       Not Used</w:t>
      </w:r>
    </w:p>
    <w:p w:rsidR="00000000" w:rsidDel="00000000" w:rsidP="00000000" w:rsidRDefault="00000000" w:rsidRPr="00000000" w14:paraId="0000002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Not Used</w:t>
      </w:r>
    </w:p>
    <w:p w:rsidR="00000000" w:rsidDel="00000000" w:rsidP="00000000" w:rsidRDefault="00000000" w:rsidRPr="00000000" w14:paraId="0000002F">
      <w:pPr>
        <w:spacing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       DELIVERY - VARIABLE COSTS</w:t>
      </w:r>
    </w:p>
    <w:p w:rsidR="00000000" w:rsidDel="00000000" w:rsidP="00000000" w:rsidRDefault="00000000" w:rsidRPr="00000000" w14:paraId="00000031">
      <w:pPr>
        <w:spacing w:before="24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4.1      Variable costs shall be allowed to the extent they are defined in the “Delivery – Variable” section of Attachment 4 – Performance Partner Pricing Model, for cost components indicated.</w:t>
      </w:r>
    </w:p>
    <w:p w:rsidR="00000000" w:rsidDel="00000000" w:rsidP="00000000" w:rsidRDefault="00000000" w:rsidRPr="00000000" w14:paraId="00000032">
      <w:pPr>
        <w:spacing w:before="24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Indicative or expected volumes are indicated, but these are for guidance only and may vary. If the volume in a particular contract year varies this is to be expected, and the actual cost charged will be for the upper or lower band (as applicable).</w:t>
      </w:r>
    </w:p>
    <w:p w:rsidR="00000000" w:rsidDel="00000000" w:rsidP="00000000" w:rsidRDefault="00000000" w:rsidRPr="00000000" w14:paraId="00000033">
      <w:pPr>
        <w:spacing w:before="24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Costs during the year will be charged within the band applicable based on the previous year, or in the case of the first contract year based on the tendered total for the Assessed Figure. At the end of the year the Buyer will review and an addition or subtraction will apply in the twelfth month’s payment of that contract year, according to the bands agreed.</w:t>
      </w:r>
    </w:p>
    <w:p w:rsidR="00000000" w:rsidDel="00000000" w:rsidP="00000000" w:rsidRDefault="00000000" w:rsidRPr="00000000" w14:paraId="00000034">
      <w:pPr>
        <w:spacing w:before="24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4.4</w:t>
        <w:tab/>
        <w:t xml:space="preserve">The volume figures for “cost per Buyer escalation to supplier” in cost component 1.7 are set at “1” as the Assessed Figure due to a lack of current information. After the first year, the Assessed Figure or based figure will be adjusted to reflect the previous years escalation percentages and a reduced cost from the base will be requested.</w:t>
      </w:r>
    </w:p>
    <w:p w:rsidR="00000000" w:rsidDel="00000000" w:rsidP="00000000" w:rsidRDefault="00000000" w:rsidRPr="00000000" w14:paraId="00000035">
      <w:pPr>
        <w:spacing w:before="24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tab/>
        <w:t xml:space="preserve">The volume figures for “cost per escalation to third party suppliers” in cost component 1.8 are set at “1” as the Assessed Figure due to a lack of current information. After the first year, the Assessed Figure or based figure will be adjusted to reflect the previous years escalation percentages and a reduced cost from the base will be requested.</w:t>
      </w:r>
    </w:p>
    <w:p w:rsidR="00000000" w:rsidDel="00000000" w:rsidP="00000000" w:rsidRDefault="00000000" w:rsidRPr="00000000" w14:paraId="00000036">
      <w:pPr>
        <w:spacing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       INDEXATION</w:t>
      </w:r>
    </w:p>
    <w:p w:rsidR="00000000" w:rsidDel="00000000" w:rsidP="00000000" w:rsidRDefault="00000000" w:rsidRPr="00000000" w14:paraId="00000038">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        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39">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        Where Indexation applies, the relevant adjustment shall be:</w:t>
      </w:r>
    </w:p>
    <w:p w:rsidR="00000000" w:rsidDel="00000000" w:rsidP="00000000" w:rsidRDefault="00000000" w:rsidRPr="00000000" w14:paraId="0000003A">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5.2.1                 applied on the dates set out in the Order Form (each such date an </w:t>
      </w:r>
      <w:r w:rsidDel="00000000" w:rsidR="00000000" w:rsidRPr="00000000">
        <w:rPr>
          <w:rFonts w:ascii="Arial" w:cs="Arial" w:eastAsia="Arial" w:hAnsi="Arial"/>
          <w:b w:val="1"/>
          <w:sz w:val="24"/>
          <w:szCs w:val="24"/>
          <w:rtl w:val="0"/>
        </w:rPr>
        <w:t xml:space="preserve">"Adjustment Date"</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3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5.2.2                 determined by multiplying the relevant amount or sum by the percentage increase or changes in the Payment Index published since the previous Adjustment Date.</w:t>
      </w:r>
    </w:p>
    <w:p w:rsidR="00000000" w:rsidDel="00000000" w:rsidP="00000000" w:rsidRDefault="00000000" w:rsidRPr="00000000" w14:paraId="0000003C">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5.3        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3D">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5.4        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3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5.5        Where the Payment Index is no longer published, the Buyer and the Supplier shall agree a fair and reasonable replacement that will have substantially the same effect.</w:t>
      </w:r>
    </w:p>
    <w:p w:rsidR="00000000" w:rsidDel="00000000" w:rsidP="00000000" w:rsidRDefault="00000000" w:rsidRPr="00000000" w14:paraId="0000003F">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PRICING FOR VARIATIONS</w:t>
      </w:r>
    </w:p>
    <w:p w:rsidR="00000000" w:rsidDel="00000000" w:rsidP="00000000" w:rsidRDefault="00000000" w:rsidRPr="00000000" w14:paraId="00000040">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        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Attachment 4 Performance Partner Pricing Model as submitted at Further Competition.</w:t>
      </w:r>
    </w:p>
    <w:p w:rsidR="00000000" w:rsidDel="00000000" w:rsidP="00000000" w:rsidRDefault="00000000" w:rsidRPr="00000000" w14:paraId="00000041">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6.2        Not used - deleted during clarification period.</w:t>
      </w:r>
    </w:p>
    <w:p w:rsidR="00000000" w:rsidDel="00000000" w:rsidP="00000000" w:rsidRDefault="00000000" w:rsidRPr="00000000" w14:paraId="00000042">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6.3        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000000" w:rsidDel="00000000" w:rsidP="00000000" w:rsidRDefault="00000000" w:rsidRPr="00000000" w14:paraId="00000043">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6.3.1.1                Notwithstanding Clause 2.8 of the Core Terms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w:t>
      </w:r>
    </w:p>
    <w:p w:rsidR="00000000" w:rsidDel="00000000" w:rsidP="00000000" w:rsidRDefault="00000000" w:rsidRPr="00000000" w14:paraId="00000044">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6.3.1.2                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w:t>
      </w:r>
    </w:p>
    <w:p w:rsidR="00000000" w:rsidDel="00000000" w:rsidP="00000000" w:rsidRDefault="00000000" w:rsidRPr="00000000" w14:paraId="00000045">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6.3.1.3                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46">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6.3.1.4                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w:t>
      </w:r>
    </w:p>
    <w:p w:rsidR="00000000" w:rsidDel="00000000" w:rsidP="00000000" w:rsidRDefault="00000000" w:rsidRPr="00000000" w14:paraId="00000047">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       CHANGES TO REAL LIVING WAGE</w:t>
      </w:r>
    </w:p>
    <w:p w:rsidR="00000000" w:rsidDel="00000000" w:rsidP="00000000" w:rsidRDefault="00000000" w:rsidRPr="00000000" w14:paraId="00000048">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7.1        Notwithstanding Clause 24.5 (Change in Law),where the Supplier can provide evidence in the form of an Impact Assessment that a percentage increase to the Mandatory Wage (which shall mean the Real Living Wage or the London Living Wage as applicable)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49">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7.2        Suppliers must include in their Impact Assessment evidence of the:</w:t>
      </w:r>
    </w:p>
    <w:p w:rsidR="00000000" w:rsidDel="00000000" w:rsidP="00000000" w:rsidRDefault="00000000" w:rsidRPr="00000000" w14:paraId="0000004A">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7.2.1                 Supplier Personnel affected by the Mandatory Wage Increase and the Services that they provide;</w:t>
      </w:r>
    </w:p>
    <w:p w:rsidR="00000000" w:rsidDel="00000000" w:rsidP="00000000" w:rsidRDefault="00000000" w:rsidRPr="00000000" w14:paraId="0000004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7.2.2                 affected Supplier Personnel’s current hourly rate of pay; and</w:t>
      </w:r>
    </w:p>
    <w:p w:rsidR="00000000" w:rsidDel="00000000" w:rsidP="00000000" w:rsidRDefault="00000000" w:rsidRPr="00000000" w14:paraId="0000004C">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7.2.3                 the number of hours worked by each of the affected Supplier Personnel. </w:t>
      </w:r>
    </w:p>
    <w:p w:rsidR="00000000" w:rsidDel="00000000" w:rsidP="00000000" w:rsidRDefault="00000000" w:rsidRPr="00000000" w14:paraId="0000004D">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7.3        The Buyer is not required to accept the Variation request under this Paragraph 7 and must not accept any variation request that:</w:t>
      </w:r>
    </w:p>
    <w:p w:rsidR="00000000" w:rsidDel="00000000" w:rsidP="00000000" w:rsidRDefault="00000000" w:rsidRPr="00000000" w14:paraId="0000004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7.3.1                 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4F">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7.3.2                 seeks to increase the Charges which go beyond the Services affected by the Mandatory Wage increase; and</w:t>
      </w:r>
    </w:p>
    <w:p w:rsidR="00000000" w:rsidDel="00000000" w:rsidP="00000000" w:rsidRDefault="00000000" w:rsidRPr="00000000" w14:paraId="00000050">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7.3.3                 increases the Charges in respect of those Supplier Personnel on an hourly rate already in excess of the Mandatory Wage (whether or not to maintain differentials between the affected Supplier Personnel and higher paid Supplier Personnel)</w:t>
      </w:r>
    </w:p>
    <w:p w:rsidR="00000000" w:rsidDel="00000000" w:rsidP="00000000" w:rsidRDefault="00000000" w:rsidRPr="00000000" w14:paraId="00000051">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       INVOICING</w:t>
      </w:r>
    </w:p>
    <w:p w:rsidR="00000000" w:rsidDel="00000000" w:rsidP="00000000" w:rsidRDefault="00000000" w:rsidRPr="00000000" w14:paraId="00000052">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        In addition to its obligations in clause 4 in the Core Terms (Price and payments) the Supplier shall ensure that each invoice it prepares in relation to the Charges:</w:t>
      </w:r>
    </w:p>
    <w:p w:rsidR="00000000" w:rsidDel="00000000" w:rsidP="00000000" w:rsidRDefault="00000000" w:rsidRPr="00000000" w14:paraId="00000053">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8.1.1                 specifies the period to which the invoice relates;</w:t>
      </w:r>
    </w:p>
    <w:p w:rsidR="00000000" w:rsidDel="00000000" w:rsidP="00000000" w:rsidRDefault="00000000" w:rsidRPr="00000000" w14:paraId="00000054">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8.1.2                 specifies the Deliverables to which the invoice relates;</w:t>
      </w:r>
    </w:p>
    <w:p w:rsidR="00000000" w:rsidDel="00000000" w:rsidP="00000000" w:rsidRDefault="00000000" w:rsidRPr="00000000" w14:paraId="00000055">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8.1.3                 sets out the calculations used to reach the amount of the Charges that are being invoiced;</w:t>
      </w:r>
    </w:p>
    <w:p w:rsidR="00000000" w:rsidDel="00000000" w:rsidP="00000000" w:rsidRDefault="00000000" w:rsidRPr="00000000" w14:paraId="00000056">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8.1.4                 separately itemised any expense or taxes said to be payable by the Buyer; and</w:t>
      </w:r>
    </w:p>
    <w:p w:rsidR="00000000" w:rsidDel="00000000" w:rsidP="00000000" w:rsidRDefault="00000000" w:rsidRPr="00000000" w14:paraId="00000057">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8.1.5                 specifies the Supplier's VAT code.</w:t>
      </w:r>
    </w:p>
    <w:p w:rsidR="00000000" w:rsidDel="00000000" w:rsidP="00000000" w:rsidRDefault="00000000" w:rsidRPr="00000000" w14:paraId="00000058">
      <w:pPr>
        <w:spacing w:before="240" w:line="276" w:lineRule="auto"/>
        <w:ind w:left="14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8.2               The Supplier shall prepare a draft of each invoice and supporting information for each Service Month and submit it to the Buyer within 14 days (or such other period as the Buyer agrees) following the start of the Service Month.  Following receipt of such a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invoice which has been issued in accordance with this Call-Off Contract and specifically this procedure.</w:t>
      </w:r>
    </w:p>
    <w:p w:rsidR="00000000" w:rsidDel="00000000" w:rsidP="00000000" w:rsidRDefault="00000000" w:rsidRPr="00000000" w14:paraId="00000059">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   </w:t>
        <w:tab/>
        <w:t xml:space="preserve">EXTENSION PERIOD</w:t>
      </w:r>
    </w:p>
    <w:p w:rsidR="00000000" w:rsidDel="00000000" w:rsidP="00000000" w:rsidRDefault="00000000" w:rsidRPr="00000000" w14:paraId="0000005A">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9.1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5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   </w:t>
        <w:tab/>
        <w:t xml:space="preserve">GAINSHARE</w:t>
      </w:r>
    </w:p>
    <w:p w:rsidR="00000000" w:rsidDel="00000000" w:rsidP="00000000" w:rsidRDefault="00000000" w:rsidRPr="00000000" w14:paraId="0000005C">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 Recurring Savings - For the first 12 months from the point of savings being recognised (or until the contract comes to a natural end, whichever comes first) the supplier partner and GPA will split the benefit 80/20 in favour of the supplier </w:t>
      </w:r>
    </w:p>
    <w:p w:rsidR="00000000" w:rsidDel="00000000" w:rsidP="00000000" w:rsidRDefault="00000000" w:rsidRPr="00000000" w14:paraId="0000005D">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10.2 One Off Savings - For the remainder of the GPA financial year from the point of savings being recognised (or until the contract comes to a natural end, whichever comes first) the supplier partner and GPA will split the benefit 50/50</w:t>
      </w:r>
    </w:p>
    <w:p w:rsidR="00000000" w:rsidDel="00000000" w:rsidP="00000000" w:rsidRDefault="00000000" w:rsidRPr="00000000" w14:paraId="0000005E">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10.3. Thereafter in relation to 10.1 and point 10.2, the GPA will retain all savings</w:t>
      </w:r>
    </w:p>
    <w:p w:rsidR="00000000" w:rsidDel="00000000" w:rsidP="00000000" w:rsidRDefault="00000000" w:rsidRPr="00000000" w14:paraId="0000005F">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10.4. Supplier must sustain the improvement otherwise they are liable to repay any gainshare taken for the relevant item in full to GPA</w:t>
      </w:r>
    </w:p>
    <w:p w:rsidR="00000000" w:rsidDel="00000000" w:rsidP="00000000" w:rsidRDefault="00000000" w:rsidRPr="00000000" w14:paraId="00000060">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10.5 This can be initiated if the improvement is not sustained for the remaining life of the contract</w:t>
      </w:r>
    </w:p>
    <w:p w:rsidR="00000000" w:rsidDel="00000000" w:rsidP="00000000" w:rsidRDefault="00000000" w:rsidRPr="00000000" w14:paraId="00000061">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10.6 Gainshare split should be calculated based on the total saving less the cost of change unless the cost of change in full was taken by the supplier. </w:t>
      </w:r>
    </w:p>
    <w:p w:rsidR="00000000" w:rsidDel="00000000" w:rsidP="00000000" w:rsidRDefault="00000000" w:rsidRPr="00000000" w14:paraId="00000062">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10.7 The gainshare thereafter (to GPA) is the full amount before cost of change</w:t>
      </w:r>
    </w:p>
    <w:p w:rsidR="00000000" w:rsidDel="00000000" w:rsidP="00000000" w:rsidRDefault="00000000" w:rsidRPr="00000000" w14:paraId="00000063">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10.8 Gainshare calculation (monies to GPA) must be calculated as the cost plus any associated margin/overheads/markup that the supplier charges</w:t>
      </w:r>
    </w:p>
    <w:p w:rsidR="00000000" w:rsidDel="00000000" w:rsidP="00000000" w:rsidRDefault="00000000" w:rsidRPr="00000000" w14:paraId="00000064">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10.9 All cost saving changes initiated on the account must have GPA express written approval before implementation</w:t>
      </w:r>
    </w:p>
    <w:p w:rsidR="00000000" w:rsidDel="00000000" w:rsidP="00000000" w:rsidRDefault="00000000" w:rsidRPr="00000000" w14:paraId="00000065">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10.10 Savings calculations to be done quarterly retrospectively. </w:t>
      </w:r>
    </w:p>
    <w:p w:rsidR="00000000" w:rsidDel="00000000" w:rsidP="00000000" w:rsidRDefault="00000000" w:rsidRPr="00000000" w14:paraId="00000066">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10.11 Examples of Gainshare savings:</w:t>
      </w:r>
    </w:p>
    <w:p w:rsidR="00000000" w:rsidDel="00000000" w:rsidP="00000000" w:rsidRDefault="00000000" w:rsidRPr="00000000" w14:paraId="00000067">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5731200" cy="2730500"/>
            <wp:effectExtent b="0" l="0" r="0" t="0"/>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731200" cy="2730500"/>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10.12 Recurring Savings: These are savings that permanently reduce the operating cost of the contract P&amp;L. E.g Headcount reductions, licences etc…</w:t>
      </w:r>
    </w:p>
    <w:p w:rsidR="00000000" w:rsidDel="00000000" w:rsidP="00000000" w:rsidRDefault="00000000" w:rsidRPr="00000000" w14:paraId="00000069">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10.13 Recurring Savings are costs which must be recurring year on year costs in the total contract lifecycle</w:t>
      </w:r>
    </w:p>
    <w:p w:rsidR="00000000" w:rsidDel="00000000" w:rsidP="00000000" w:rsidRDefault="00000000" w:rsidRPr="00000000" w14:paraId="0000006A">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10.14 One Off Savings: These are savings realised against a current fiscal year cost but it does not amend the year on year P&amp;L. E.g. a planned project cost, purchase of equipment</w:t>
      </w:r>
    </w:p>
    <w:p w:rsidR="00000000" w:rsidDel="00000000" w:rsidP="00000000" w:rsidRDefault="00000000" w:rsidRPr="00000000" w14:paraId="0000006B">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10.15 One Off Savings are costs which must be forecasted in current financial year but not recurring year on year</w:t>
      </w:r>
    </w:p>
    <w:p w:rsidR="00000000" w:rsidDel="00000000" w:rsidP="00000000" w:rsidRDefault="00000000" w:rsidRPr="00000000" w14:paraId="0000006C">
      <w:pPr>
        <w:spacing w:before="240" w:line="276" w:lineRule="auto"/>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10.16 Cost Avoidance: These are savings against a cost that is unplanned/not in forecast and had the initiative not been implemented the contract would have incurred the costs. E.g. supply chain increase, pandemic, reduction in space</w:t>
      </w:r>
    </w:p>
    <w:p w:rsidR="00000000" w:rsidDel="00000000" w:rsidP="00000000" w:rsidRDefault="00000000" w:rsidRPr="00000000" w14:paraId="0000006D">
      <w:pPr>
        <w:spacing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B – Not Used</w:t>
      </w:r>
    </w:p>
    <w:p w:rsidR="00000000" w:rsidDel="00000000" w:rsidP="00000000" w:rsidRDefault="00000000" w:rsidRPr="00000000" w14:paraId="0000006F">
      <w:pPr>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70">
      <w:pPr>
        <w:spacing w:before="240" w:line="276" w:lineRule="auto"/>
        <w:jc w:val="left"/>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Not Used</w:t>
      </w:r>
    </w:p>
    <w:p w:rsidR="00000000" w:rsidDel="00000000" w:rsidP="00000000" w:rsidRDefault="00000000" w:rsidRPr="00000000" w14:paraId="00000071">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2">
      <w:pPr>
        <w:spacing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3">
      <w:pPr>
        <w:spacing w:before="240" w:line="276"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w:t>
      </w:r>
    </w:p>
    <w:p w:rsidR="00000000" w:rsidDel="00000000" w:rsidP="00000000" w:rsidRDefault="00000000" w:rsidRPr="00000000" w14:paraId="00000074">
      <w:pPr>
        <w:spacing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75">
      <w:pPr>
        <w:spacing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Further Competition Performance Partner Pricing Model principles</w:t>
      </w:r>
    </w:p>
    <w:p w:rsidR="00000000" w:rsidDel="00000000" w:rsidP="00000000" w:rsidRDefault="00000000" w:rsidRPr="00000000" w14:paraId="00000076">
      <w:pPr>
        <w:spacing w:before="240" w:line="276" w:lineRule="auto"/>
        <w:jc w:val="left"/>
        <w:rPr>
          <w:rFonts w:ascii="Arial" w:cs="Arial" w:eastAsia="Arial" w:hAnsi="Arial"/>
          <w:sz w:val="24"/>
          <w:szCs w:val="24"/>
        </w:rPr>
        <w:sectPr>
          <w:headerReference r:id="rId8" w:type="default"/>
          <w:footerReference r:id="rId9" w:type="defaul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 Refer to the tab of instructions on the Attachment 4 - Performance Partner Pricing Mode</w:t>
      </w:r>
    </w:p>
    <w:p w:rsidR="00000000" w:rsidDel="00000000" w:rsidP="00000000" w:rsidRDefault="00000000" w:rsidRPr="00000000" w14:paraId="00000077">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headerReference r:id="rId11" w:type="first"/>
      <w:footerReference r:id="rId12" w:type="default"/>
      <w:footerReference r:id="rId13" w:type="first"/>
      <w:type w:val="nextPage"/>
      <w:pgSz w:h="16838" w:w="11906" w:orient="portrait"/>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4">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RM6168 - Estate Management Services</w:t>
    </w:r>
  </w:p>
  <w:p w:rsidR="00000000" w:rsidDel="00000000" w:rsidP="00000000" w:rsidRDefault="00000000" w:rsidRPr="00000000" w14:paraId="00000085">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86">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8">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RM6168 - Estate Management Services</w:t>
    </w:r>
  </w:p>
  <w:p w:rsidR="00000000" w:rsidDel="00000000" w:rsidP="00000000" w:rsidRDefault="00000000" w:rsidRPr="00000000" w14:paraId="00000089">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8A">
    <w:pP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8C">
    <w:pPr>
      <w:tabs>
        <w:tab w:val="center" w:pos="4513"/>
        <w:tab w:val="right" w:pos="9026"/>
      </w:tabs>
      <w:spacing w:after="0" w:line="240" w:lineRule="auto"/>
      <w:rPr/>
    </w:pPr>
    <w:r w:rsidDel="00000000" w:rsidR="00000000" w:rsidRPr="00000000">
      <w:rPr>
        <w:rtl w:val="0"/>
      </w:rPr>
      <w:t xml:space="preserve">Ref: RM3830</w:t>
    </w:r>
  </w:p>
  <w:p w:rsidR="00000000" w:rsidDel="00000000" w:rsidP="00000000" w:rsidRDefault="00000000" w:rsidRPr="00000000" w14:paraId="0000008D">
    <w:pPr>
      <w:widowControl w:val="0"/>
      <w:spacing w:after="0" w:line="276" w:lineRule="auto"/>
      <w:jc w:val="left"/>
      <w:rPr/>
    </w:pPr>
    <w:r w:rsidDel="00000000" w:rsidR="00000000" w:rsidRPr="00000000">
      <w:rPr>
        <w:rtl w:val="0"/>
      </w:rPr>
      <w:t xml:space="preserve">FM Project Version: 1.A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w:t>
    </w:r>
  </w:p>
  <w:p w:rsidR="00000000" w:rsidDel="00000000" w:rsidP="00000000" w:rsidRDefault="00000000" w:rsidRPr="00000000" w14:paraId="0000007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CCBO21A04 </w:t>
    </w:r>
  </w:p>
  <w:p w:rsidR="00000000" w:rsidDel="00000000" w:rsidP="00000000" w:rsidRDefault="00000000" w:rsidRPr="00000000" w14:paraId="0000007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7B">
    <w:pPr>
      <w:tabs>
        <w:tab w:val="center" w:pos="4153"/>
        <w:tab w:val="right"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w:t>
    </w:r>
  </w:p>
  <w:p w:rsidR="00000000" w:rsidDel="00000000" w:rsidP="00000000" w:rsidRDefault="00000000" w:rsidRPr="00000000" w14:paraId="0000007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CCBO21A04 </w:t>
    </w:r>
  </w:p>
  <w:p w:rsidR="00000000" w:rsidDel="00000000" w:rsidP="00000000" w:rsidRDefault="00000000" w:rsidRPr="00000000" w14:paraId="0000007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7F">
    <w:pPr>
      <w:tabs>
        <w:tab w:val="center" w:pos="4153"/>
        <w:tab w:val="right"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pos="4513"/>
        <w:tab w:val="right" w:pos="9026"/>
      </w:tabs>
      <w:spacing w:after="0" w:line="240" w:lineRule="auto"/>
      <w:rPr>
        <w:b w:val="1"/>
      </w:rPr>
    </w:pPr>
    <w:r w:rsidDel="00000000" w:rsidR="00000000" w:rsidRPr="00000000">
      <w:rPr>
        <w:b w:val="1"/>
        <w:rtl w:val="0"/>
      </w:rPr>
      <w:t xml:space="preserve">Call-Off Schedule 5 (Call-Off Pricing)</w:t>
    </w:r>
    <w:r w:rsidDel="00000000" w:rsidR="00000000" w:rsidRPr="00000000">
      <w:drawing>
        <wp:anchor allowOverlap="1" behindDoc="1" distB="0" distT="0" distL="0" distR="0" hidden="0" layoutInCell="1" locked="0" relativeHeight="0" simplePos="0">
          <wp:simplePos x="0" y="0"/>
          <wp:positionH relativeFrom="column">
            <wp:posOffset>5562600</wp:posOffset>
          </wp:positionH>
          <wp:positionV relativeFrom="paragraph">
            <wp:posOffset>-165732</wp:posOffset>
          </wp:positionV>
          <wp:extent cx="848995" cy="685800"/>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81">
    <w:pPr>
      <w:tabs>
        <w:tab w:val="center" w:pos="4513"/>
        <w:tab w:val="right" w:pos="9026"/>
      </w:tabs>
      <w:spacing w:after="0" w:line="240" w:lineRule="auto"/>
      <w:rPr/>
    </w:pPr>
    <w:r w:rsidDel="00000000" w:rsidR="00000000" w:rsidRPr="00000000">
      <w:rPr>
        <w:rtl w:val="0"/>
      </w:rPr>
      <w:t xml:space="preserve">Crown Copyright 2017</w:t>
    </w:r>
  </w:p>
  <w:p w:rsidR="00000000" w:rsidDel="00000000" w:rsidP="00000000" w:rsidRDefault="00000000" w:rsidRPr="00000000" w14:paraId="00000082">
    <w:pPr>
      <w:tabs>
        <w:tab w:val="center" w:pos="4153"/>
        <w:tab w:val="right"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pacing w:after="0" w:line="240" w:lineRule="auto"/>
      <w:ind w:left="720" w:hanging="720"/>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0" w:line="240" w:lineRule="auto"/>
      <w:ind w:left="720" w:hanging="720"/>
    </w:pPr>
    <w:rPr>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0" w:line="240" w:lineRule="auto"/>
      <w:ind w:left="1800" w:hanging="1080"/>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0" w:line="240" w:lineRule="auto"/>
      <w:ind w:left="2880" w:hanging="1080"/>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0" w:line="240" w:lineRule="auto"/>
      <w:ind w:left="360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0" w:line="240" w:lineRule="auto"/>
      <w:ind w:left="4320" w:hanging="720"/>
    </w:pPr>
    <w:rPr>
      <w:color w:val="000000"/>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240" w:lineRule="auto"/>
      <w:jc w:val="center"/>
    </w:pPr>
    <w:rPr>
      <w:rFonts w:ascii="Arial" w:cs="Arial" w:eastAsia="Arial" w:hAnsi="Arial"/>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pacing w:after="0" w:line="240" w:lineRule="auto"/>
      <w:ind w:left="720" w:hanging="720"/>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0" w:line="240" w:lineRule="auto"/>
      <w:ind w:left="720" w:hanging="720"/>
    </w:pPr>
    <w:rPr>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0" w:line="240" w:lineRule="auto"/>
      <w:ind w:left="1800" w:hanging="1080"/>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0" w:line="240" w:lineRule="auto"/>
      <w:ind w:left="2880" w:hanging="1080"/>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0" w:line="240" w:lineRule="auto"/>
      <w:ind w:left="360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0" w:line="240" w:lineRule="auto"/>
      <w:ind w:left="4320" w:hanging="720"/>
    </w:pPr>
    <w:rPr>
      <w:color w:val="000000"/>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240" w:lineRule="auto"/>
      <w:jc w:val="center"/>
    </w:pPr>
    <w:rPr>
      <w:rFonts w:ascii="Arial" w:cs="Arial" w:eastAsia="Arial" w:hAnsi="Arial"/>
      <w:b w:val="1"/>
      <w:color w:val="000000"/>
      <w:sz w:val="32"/>
      <w:szCs w:val="32"/>
    </w:r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pacing w:after="0" w:line="240" w:lineRule="auto"/>
      <w:ind w:left="720" w:hanging="720"/>
      <w:outlineLvl w:val="0"/>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0" w:line="240" w:lineRule="auto"/>
      <w:ind w:left="720" w:hanging="720"/>
      <w:outlineLvl w:val="1"/>
    </w:pPr>
    <w:rPr>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0" w:line="240" w:lineRule="auto"/>
      <w:ind w:left="1800" w:hanging="1080"/>
      <w:outlineLvl w:val="2"/>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0" w:line="240" w:lineRule="auto"/>
      <w:ind w:left="2880" w:hanging="1080"/>
      <w:outlineLvl w:val="3"/>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0" w:line="240" w:lineRule="auto"/>
      <w:ind w:left="3600" w:hanging="720"/>
      <w:outlineLvl w:val="4"/>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0" w:line="240" w:lineRule="auto"/>
      <w:ind w:left="4320" w:hanging="720"/>
      <w:outlineLvl w:val="5"/>
    </w:pPr>
    <w:rPr>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240" w:lineRule="auto"/>
      <w:jc w:val="center"/>
    </w:pPr>
    <w:rPr>
      <w:rFonts w:ascii="Arial" w:cs="Arial" w:eastAsia="Arial" w:hAnsi="Arial"/>
      <w:b w:val="1"/>
      <w:color w:val="00000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240" w:lineRule="auto"/>
      <w:jc w:val="center"/>
    </w:pPr>
    <w:rPr>
      <w:rFonts w:ascii="Cambria" w:cs="Cambria" w:eastAsia="Cambria" w:hAnsi="Cambria"/>
      <w:color w:val="000000"/>
      <w:sz w:val="24"/>
      <w:szCs w:val="24"/>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AD5321"/>
    <w:pPr>
      <w:tabs>
        <w:tab w:val="center" w:pos="4513"/>
        <w:tab w:val="right" w:pos="9026"/>
      </w:tabs>
      <w:spacing w:after="0" w:line="240" w:lineRule="auto"/>
    </w:pPr>
  </w:style>
  <w:style w:type="character" w:styleId="HeaderChar" w:customStyle="1">
    <w:name w:val="Header Char"/>
    <w:basedOn w:val="DefaultParagraphFont"/>
    <w:link w:val="Header"/>
    <w:uiPriority w:val="99"/>
    <w:rsid w:val="00AD5321"/>
  </w:style>
  <w:style w:type="paragraph" w:styleId="Footer">
    <w:name w:val="footer"/>
    <w:basedOn w:val="Normal"/>
    <w:link w:val="FooterChar"/>
    <w:uiPriority w:val="99"/>
    <w:unhideWhenUsed w:val="1"/>
    <w:rsid w:val="00AD5321"/>
    <w:pPr>
      <w:tabs>
        <w:tab w:val="center" w:pos="4513"/>
        <w:tab w:val="right" w:pos="9026"/>
      </w:tabs>
      <w:spacing w:after="0" w:line="240" w:lineRule="auto"/>
    </w:pPr>
  </w:style>
  <w:style w:type="character" w:styleId="FooterChar" w:customStyle="1">
    <w:name w:val="Footer Char"/>
    <w:basedOn w:val="DefaultParagraphFont"/>
    <w:link w:val="Footer"/>
    <w:uiPriority w:val="99"/>
    <w:rsid w:val="00AD532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240" w:lineRule="auto"/>
      <w:jc w:val="center"/>
    </w:pPr>
    <w:rPr>
      <w:rFonts w:ascii="Cambria" w:cs="Cambria" w:eastAsia="Cambria" w:hAnsi="Cambria"/>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240" w:lineRule="auto"/>
      <w:jc w:val="center"/>
    </w:pPr>
    <w:rPr>
      <w:rFonts w:ascii="Cambria" w:cs="Cambria" w:eastAsia="Cambria" w:hAnsi="Cambria"/>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9ay2AXWSBIDF5Cxn3mcwA4d1zw==">AMUW2mVL3kxtb4rlmNbIfQAVg2F+GCQ4GaBDWwqWibn6a/f6WhbBEX3rhiWw7uM3a3eO1kh+0Vj090dC3XBfOUSVL2I3WtTCeanW7LQe9nlNbYrkDj6/GRXlefb8xqpXBWi+t5w7QQyx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2022-07-18T10:41:00Z</dcterms:created>
  <dc:creator>Elizabeth Myler</dc:creator>
</cp:coreProperties>
</file>